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SZSN-CM-20250903-8BA73205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张瑾仪</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2025年09月03日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张瑾仪</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1000</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1000.00</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2025年08月27日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2026年08月27日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1016000" cy="1016000"/>
            <wp:docPr id="1" name="Drawing 1" descr="company_seal.png"/>
            <a:graphic xmlns:a="http://schemas.openxmlformats.org/drawingml/2006/main">
              <a:graphicData uri="http://schemas.openxmlformats.org/drawingml/2006/picture">
                <pic:pic xmlns:pic="http://schemas.openxmlformats.org/drawingml/2006/picture">
                  <pic:nvPicPr>
                    <pic:cNvPr id="0" name="Picture 1" descr="company_seal.png"/>
                    <pic:cNvPicPr>
                      <a:picLocks noChangeAspect="true"/>
                    </pic:cNvPicPr>
                  </pic:nvPicPr>
                  <pic:blipFill>
                    <a:blip r:embed="rId8"/>
                    <a:stretch>
                      <a:fillRect/>
                    </a:stretch>
                  </pic:blipFill>
                  <pic:spPr>
                    <a:xfrm>
                      <a:off x="0" y="0"/>
                      <a:ext cx="1016000" cy="1016000"/>
                    </a:xfrm>
                    <a:prstGeom prst="rect">
                      <a:avLst/>
                    </a:prstGeom>
                  </pic:spPr>
                </pic:pic>
              </a:graphicData>
            </a:graphic>
          </wp:inline>
        </w:drawing>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8d1bd6eb-5c7f-466d-8527-992452372e40.png"/>
            <a:graphic xmlns:a="http://schemas.openxmlformats.org/drawingml/2006/main">
              <a:graphicData uri="http://schemas.openxmlformats.org/drawingml/2006/picture">
                <pic:pic xmlns:pic="http://schemas.openxmlformats.org/drawingml/2006/picture">
                  <pic:nvPicPr>
                    <pic:cNvPr id="0" name="Picture 0" descr="8d1bd6eb-5c7f-466d-8527-992452372e40.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2025年09月03日 			     日期：2025年09月03日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 Id="rId8" Target="media/image2.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