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SZSN-CC-20250918-0277511B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方（业主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赖瑞玲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440306198011171626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13590115582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方拥有位于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深圳市宝安区燕罗街道罗田社区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2025年09月21日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起至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2026年09月21日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</w:rPr>
        <w:t xml:space="preserve">    </w:t>
      </w:r>
      <w:r>
        <w:rPr>
          <w:rFonts w:ascii="Noto Serif SC ExtraLight Regular" w:hAnsi="Noto Serif SC ExtraLight Regular"/>
          <w:sz w:val="28"/>
          <w:szCs w:val="28"/>
          <w:rtl w:val="0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8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六</w:t>
      </w:r>
      <w:r>
        <w:rPr>
          <w:rFonts w:eastAsia="Noto Serif SC ExtraLight Regular" w:hint="eastAsia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