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SZSN-CC-20250908-C7156A74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罗宝超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440981198203068618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13922331982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2025年09月11日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2026年09月11日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2025年09月08日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2025年09月08日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