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SZSN-CC-20250903-8978EA85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彭子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420111200405274667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13900002100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N/A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123456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970d516d-b739-4c21-9459-da6daad9fb23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70d516d-b739-4c21-9459-da6daad9fb23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